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0D4C5">
      <w:pPr>
        <w:ind w:left="420" w:leftChars="200" w:firstLine="0" w:firstLineChars="0"/>
        <w:jc w:val="center"/>
        <w:rPr>
          <w:rFonts w:eastAsia="隶书"/>
          <w:b/>
          <w:sz w:val="44"/>
          <w:szCs w:val="44"/>
        </w:rPr>
      </w:pPr>
      <w:bookmarkStart w:id="0" w:name="_GoBack"/>
      <w:bookmarkEnd w:id="0"/>
      <w:r>
        <w:rPr>
          <w:rFonts w:eastAsia="隶书"/>
          <w:b/>
          <w:sz w:val="44"/>
          <w:szCs w:val="44"/>
        </w:rPr>
        <w:t>20</w:t>
      </w:r>
      <w:r>
        <w:rPr>
          <w:rFonts w:hint="eastAsia" w:eastAsia="隶书"/>
          <w:b/>
          <w:sz w:val="44"/>
          <w:szCs w:val="44"/>
        </w:rPr>
        <w:t>2</w:t>
      </w:r>
      <w:r>
        <w:rPr>
          <w:rFonts w:hint="eastAsia" w:eastAsia="隶书"/>
          <w:b/>
          <w:sz w:val="44"/>
          <w:szCs w:val="44"/>
          <w:lang w:val="en-US" w:eastAsia="zh-CN"/>
        </w:rPr>
        <w:t>5</w:t>
      </w:r>
      <w:r>
        <w:rPr>
          <w:rFonts w:hint="eastAsia" w:eastAsia="隶书"/>
          <w:b/>
          <w:sz w:val="44"/>
          <w:szCs w:val="44"/>
        </w:rPr>
        <w:t>年硕士研究生入学考试复试科目大纲</w:t>
      </w:r>
    </w:p>
    <w:tbl>
      <w:tblPr>
        <w:tblStyle w:val="4"/>
        <w:tblW w:w="928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8"/>
        <w:gridCol w:w="1947"/>
        <w:gridCol w:w="2268"/>
        <w:gridCol w:w="2985"/>
      </w:tblGrid>
      <w:tr w14:paraId="58B13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9"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261DD6D1">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招生学院</w:t>
            </w:r>
          </w:p>
        </w:tc>
        <w:tc>
          <w:tcPr>
            <w:tcW w:w="1947" w:type="dxa"/>
            <w:tcBorders>
              <w:top w:val="single" w:color="auto" w:sz="4" w:space="0"/>
              <w:left w:val="single" w:color="auto" w:sz="4" w:space="0"/>
              <w:bottom w:val="single" w:color="auto" w:sz="4" w:space="0"/>
              <w:right w:val="single" w:color="auto" w:sz="4" w:space="0"/>
            </w:tcBorders>
            <w:vAlign w:val="center"/>
          </w:tcPr>
          <w:p w14:paraId="5BA63819">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招生专业代码</w:t>
            </w:r>
          </w:p>
        </w:tc>
        <w:tc>
          <w:tcPr>
            <w:tcW w:w="2268" w:type="dxa"/>
            <w:tcBorders>
              <w:top w:val="single" w:color="auto" w:sz="4" w:space="0"/>
              <w:left w:val="single" w:color="auto" w:sz="4" w:space="0"/>
              <w:bottom w:val="single" w:color="auto" w:sz="4" w:space="0"/>
              <w:right w:val="single" w:color="auto" w:sz="4" w:space="0"/>
            </w:tcBorders>
            <w:vAlign w:val="center"/>
          </w:tcPr>
          <w:p w14:paraId="32710684">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招生专业名称</w:t>
            </w:r>
          </w:p>
        </w:tc>
        <w:tc>
          <w:tcPr>
            <w:tcW w:w="2985" w:type="dxa"/>
            <w:tcBorders>
              <w:top w:val="single" w:color="auto" w:sz="4" w:space="0"/>
              <w:left w:val="single" w:color="auto" w:sz="4" w:space="0"/>
              <w:bottom w:val="single" w:color="auto" w:sz="4" w:space="0"/>
              <w:right w:val="single" w:color="auto" w:sz="4" w:space="0"/>
            </w:tcBorders>
            <w:vAlign w:val="center"/>
          </w:tcPr>
          <w:p w14:paraId="033397C6">
            <w:pPr>
              <w:spacing w:before="120" w:after="120"/>
              <w:jc w:val="center"/>
              <w:rPr>
                <w:rFonts w:ascii="华文仿宋" w:hAnsi="华文仿宋" w:eastAsia="华文仿宋"/>
                <w:b/>
                <w:sz w:val="28"/>
                <w:szCs w:val="28"/>
              </w:rPr>
            </w:pPr>
            <w:r>
              <w:rPr>
                <w:rFonts w:hint="eastAsia" w:ascii="华文仿宋" w:hAnsi="华文仿宋" w:eastAsia="华文仿宋"/>
                <w:b/>
                <w:sz w:val="28"/>
                <w:szCs w:val="28"/>
              </w:rPr>
              <w:t>考试科目代码及名称</w:t>
            </w:r>
          </w:p>
        </w:tc>
      </w:tr>
      <w:tr w14:paraId="228BB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4FB25AE8">
            <w:pPr>
              <w:spacing w:line="320" w:lineRule="exact"/>
              <w:jc w:val="center"/>
              <w:rPr>
                <w:rFonts w:ascii="宋体"/>
                <w:sz w:val="24"/>
              </w:rPr>
            </w:pPr>
            <w:r>
              <w:rPr>
                <w:rFonts w:hint="eastAsia" w:ascii="宋体"/>
                <w:sz w:val="24"/>
              </w:rPr>
              <w:t>生命</w:t>
            </w:r>
            <w:r>
              <w:rPr>
                <w:rFonts w:hint="eastAsia" w:ascii="宋体"/>
                <w:sz w:val="24"/>
                <w:lang w:val="en-US" w:eastAsia="zh-CN"/>
              </w:rPr>
              <w:t>与环境</w:t>
            </w:r>
            <w:r>
              <w:rPr>
                <w:rFonts w:hint="eastAsia" w:ascii="宋体"/>
                <w:sz w:val="24"/>
              </w:rPr>
              <w:t>科学学院</w:t>
            </w:r>
          </w:p>
        </w:tc>
        <w:tc>
          <w:tcPr>
            <w:tcW w:w="1947" w:type="dxa"/>
            <w:tcBorders>
              <w:top w:val="single" w:color="auto" w:sz="4" w:space="0"/>
              <w:left w:val="single" w:color="auto" w:sz="4" w:space="0"/>
              <w:bottom w:val="single" w:color="auto" w:sz="4" w:space="0"/>
              <w:right w:val="single" w:color="auto" w:sz="4" w:space="0"/>
            </w:tcBorders>
            <w:vAlign w:val="center"/>
          </w:tcPr>
          <w:p w14:paraId="15A0AE79">
            <w:pPr>
              <w:spacing w:line="320" w:lineRule="exact"/>
              <w:jc w:val="center"/>
              <w:rPr>
                <w:sz w:val="24"/>
              </w:rPr>
            </w:pPr>
            <w:r>
              <w:rPr>
                <w:rFonts w:hint="eastAsia"/>
                <w:sz w:val="24"/>
              </w:rPr>
              <w:t>071300</w:t>
            </w:r>
          </w:p>
        </w:tc>
        <w:tc>
          <w:tcPr>
            <w:tcW w:w="2268" w:type="dxa"/>
            <w:tcBorders>
              <w:top w:val="single" w:color="auto" w:sz="4" w:space="0"/>
              <w:left w:val="single" w:color="auto" w:sz="4" w:space="0"/>
              <w:bottom w:val="single" w:color="auto" w:sz="4" w:space="0"/>
              <w:right w:val="single" w:color="auto" w:sz="4" w:space="0"/>
            </w:tcBorders>
            <w:vAlign w:val="center"/>
          </w:tcPr>
          <w:p w14:paraId="12F2BD5D">
            <w:pPr>
              <w:spacing w:line="320" w:lineRule="exact"/>
              <w:jc w:val="center"/>
              <w:rPr>
                <w:sz w:val="24"/>
              </w:rPr>
            </w:pPr>
            <w:r>
              <w:rPr>
                <w:rFonts w:hint="eastAsia"/>
                <w:sz w:val="24"/>
              </w:rPr>
              <w:t>生态学</w:t>
            </w:r>
          </w:p>
        </w:tc>
        <w:tc>
          <w:tcPr>
            <w:tcW w:w="2985" w:type="dxa"/>
            <w:tcBorders>
              <w:top w:val="single" w:color="auto" w:sz="4" w:space="0"/>
              <w:left w:val="single" w:color="auto" w:sz="4" w:space="0"/>
              <w:bottom w:val="single" w:color="auto" w:sz="4" w:space="0"/>
              <w:right w:val="single" w:color="auto" w:sz="4" w:space="0"/>
            </w:tcBorders>
            <w:vAlign w:val="center"/>
          </w:tcPr>
          <w:p w14:paraId="1A277FED">
            <w:pPr>
              <w:spacing w:line="320" w:lineRule="exact"/>
              <w:jc w:val="center"/>
              <w:rPr>
                <w:sz w:val="24"/>
              </w:rPr>
            </w:pPr>
            <w:r>
              <w:rPr>
                <w:rFonts w:hint="eastAsia"/>
                <w:sz w:val="24"/>
              </w:rPr>
              <w:t>f14</w:t>
            </w:r>
            <w:r>
              <w:rPr>
                <w:sz w:val="24"/>
              </w:rPr>
              <w:t xml:space="preserve"> 森林</w:t>
            </w:r>
            <w:r>
              <w:rPr>
                <w:rFonts w:hint="eastAsia"/>
                <w:sz w:val="24"/>
              </w:rPr>
              <w:t>生态学及研究方法</w:t>
            </w:r>
          </w:p>
        </w:tc>
      </w:tr>
      <w:tr w14:paraId="168B86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175"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7E47BF7B">
            <w:pPr>
              <w:spacing w:line="288" w:lineRule="auto"/>
              <w:jc w:val="center"/>
              <w:rPr>
                <w:rFonts w:ascii="华文仿宋" w:hAnsi="华文仿宋" w:eastAsia="华文仿宋"/>
                <w:b/>
                <w:sz w:val="28"/>
                <w:szCs w:val="28"/>
              </w:rPr>
            </w:pPr>
          </w:p>
          <w:p w14:paraId="5917B03E">
            <w:pPr>
              <w:spacing w:line="288" w:lineRule="auto"/>
              <w:jc w:val="center"/>
              <w:rPr>
                <w:rFonts w:ascii="华文仿宋" w:hAnsi="华文仿宋" w:eastAsia="华文仿宋"/>
                <w:b/>
                <w:sz w:val="28"/>
                <w:szCs w:val="28"/>
              </w:rPr>
            </w:pPr>
            <w:r>
              <w:rPr>
                <w:rFonts w:hint="eastAsia" w:ascii="华文仿宋" w:hAnsi="华文仿宋" w:eastAsia="华文仿宋"/>
                <w:b/>
                <w:sz w:val="28"/>
                <w:szCs w:val="28"/>
              </w:rPr>
              <w:t>一、考试内容</w:t>
            </w:r>
          </w:p>
          <w:p w14:paraId="40105887">
            <w:pPr>
              <w:wordWrap w:val="0"/>
              <w:spacing w:line="288" w:lineRule="auto"/>
              <w:jc w:val="center"/>
              <w:rPr>
                <w:rFonts w:ascii="华文仿宋" w:hAnsi="华文仿宋" w:eastAsia="华文仿宋"/>
                <w:sz w:val="28"/>
                <w:szCs w:val="28"/>
              </w:rPr>
            </w:pPr>
          </w:p>
        </w:tc>
        <w:tc>
          <w:tcPr>
            <w:tcW w:w="7200" w:type="dxa"/>
            <w:gridSpan w:val="3"/>
            <w:tcBorders>
              <w:top w:val="single" w:color="auto" w:sz="4" w:space="0"/>
              <w:left w:val="single" w:color="auto" w:sz="4" w:space="0"/>
              <w:bottom w:val="single" w:color="auto" w:sz="4" w:space="0"/>
              <w:right w:val="single" w:color="auto" w:sz="4" w:space="0"/>
            </w:tcBorders>
          </w:tcPr>
          <w:p w14:paraId="65A95E94">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森林生态学是研究组成森林的不同生物种类之间及生物与外界环境之间相互关系的科学。内容主要包括个体生态——研究构成森林的各种林木与环境的生态关系;种群生态——研究森林生物种群的形成与变化规律、种内与种间关系;群落生态——研究群落的形成、演替与环境条件的动态关系;森林生态系统——研究生态系统中物质循环与能量流动转化规律;景观生态——研究景观要素、结构与功能的变化规律。</w:t>
            </w:r>
          </w:p>
          <w:p w14:paraId="43BB8210">
            <w:pPr>
              <w:widowControl/>
              <w:shd w:val="clear" w:color="auto" w:fill="FFFFFF"/>
              <w:spacing w:line="360" w:lineRule="atLeast"/>
              <w:jc w:val="left"/>
              <w:rPr>
                <w:rFonts w:ascii="仿宋" w:hAnsi="仿宋" w:eastAsia="仿宋"/>
                <w:sz w:val="24"/>
              </w:rPr>
            </w:pPr>
            <w:r>
              <w:rPr>
                <w:rFonts w:hint="eastAsia" w:ascii="仿宋" w:hAnsi="仿宋" w:eastAsia="仿宋"/>
                <w:sz w:val="24"/>
              </w:rPr>
              <w:t>一、森林与环境</w:t>
            </w:r>
          </w:p>
          <w:p w14:paraId="5D751D03">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掌握森林、环境的概念与类型；生态因子作用分析、生态因子的概念、生态因子的分类、生态因子作用的一般特征；掌握光的性质及其变化规律、光的生态作用、树种的耐荫性；掌握温度的变化规律、温度对植物的影响、树种对极端温度的适应、温度与树种分布；掌握水分因子、大气因子、土壤因子、地形因子及火因子的生态意义及其与森林的生态关系。</w:t>
            </w:r>
          </w:p>
          <w:p w14:paraId="6B4DB343">
            <w:pPr>
              <w:widowControl/>
              <w:shd w:val="clear" w:color="auto" w:fill="FFFFFF"/>
              <w:spacing w:line="360" w:lineRule="atLeast"/>
              <w:jc w:val="left"/>
              <w:rPr>
                <w:rFonts w:ascii="仿宋" w:hAnsi="仿宋" w:eastAsia="仿宋"/>
                <w:sz w:val="24"/>
              </w:rPr>
            </w:pPr>
            <w:r>
              <w:rPr>
                <w:rFonts w:hint="eastAsia" w:ascii="仿宋" w:hAnsi="仿宋" w:eastAsia="仿宋"/>
                <w:sz w:val="24"/>
              </w:rPr>
              <w:t>二、种群及其基本特征</w:t>
            </w:r>
          </w:p>
          <w:p w14:paraId="690EA822">
            <w:pPr>
              <w:widowControl/>
              <w:shd w:val="clear" w:color="auto" w:fill="FFFFFF"/>
              <w:spacing w:line="360" w:lineRule="atLeast"/>
              <w:ind w:firstLine="405"/>
              <w:jc w:val="left"/>
              <w:rPr>
                <w:rFonts w:ascii="仿宋" w:hAnsi="仿宋" w:eastAsia="仿宋"/>
                <w:sz w:val="24"/>
              </w:rPr>
            </w:pPr>
            <w:r>
              <w:rPr>
                <w:rFonts w:hint="eastAsia" w:ascii="仿宋" w:hAnsi="仿宋" w:eastAsia="仿宋"/>
                <w:sz w:val="24"/>
              </w:rPr>
              <w:t>掌握种群的基本概念、种群的基本特征；掌握种群密度、空间结构；种群的出生率与死亡率；生命表</w:t>
            </w:r>
          </w:p>
          <w:p w14:paraId="3D2B3240">
            <w:pPr>
              <w:widowControl/>
              <w:shd w:val="clear" w:color="auto" w:fill="FFFFFF"/>
              <w:spacing w:line="360" w:lineRule="atLeast"/>
              <w:jc w:val="left"/>
              <w:rPr>
                <w:rFonts w:ascii="仿宋" w:hAnsi="仿宋" w:eastAsia="仿宋"/>
                <w:sz w:val="24"/>
              </w:rPr>
            </w:pPr>
            <w:r>
              <w:rPr>
                <w:rFonts w:hint="eastAsia" w:ascii="仿宋" w:hAnsi="仿宋" w:eastAsia="仿宋"/>
                <w:sz w:val="24"/>
              </w:rPr>
              <w:t>三、群落种内与种间关系</w:t>
            </w:r>
          </w:p>
          <w:p w14:paraId="69B8F611">
            <w:pPr>
              <w:widowControl/>
              <w:shd w:val="clear" w:color="auto" w:fill="FFFFFF"/>
              <w:spacing w:line="360" w:lineRule="atLeast"/>
              <w:jc w:val="left"/>
              <w:rPr>
                <w:rFonts w:ascii="仿宋" w:hAnsi="仿宋" w:eastAsia="仿宋"/>
                <w:sz w:val="24"/>
              </w:rPr>
            </w:pPr>
            <w:r>
              <w:rPr>
                <w:rFonts w:hint="eastAsia" w:ascii="仿宋" w:hAnsi="仿宋" w:eastAsia="仿宋"/>
                <w:sz w:val="24"/>
              </w:rPr>
              <w:t>四、森林群落结构特征</w:t>
            </w:r>
          </w:p>
          <w:p w14:paraId="31E0EE22">
            <w:pPr>
              <w:widowControl/>
              <w:shd w:val="clear" w:color="auto" w:fill="FFFFFF"/>
              <w:spacing w:line="360" w:lineRule="atLeast"/>
              <w:jc w:val="left"/>
              <w:rPr>
                <w:rFonts w:ascii="仿宋" w:hAnsi="仿宋" w:eastAsia="仿宋"/>
                <w:sz w:val="24"/>
              </w:rPr>
            </w:pPr>
            <w:r>
              <w:rPr>
                <w:rFonts w:hint="eastAsia" w:ascii="仿宋" w:hAnsi="仿宋" w:eastAsia="仿宋"/>
                <w:sz w:val="24"/>
              </w:rPr>
              <w:t>五、森林群落演替</w:t>
            </w:r>
          </w:p>
          <w:p w14:paraId="11E49231">
            <w:pPr>
              <w:widowControl/>
              <w:shd w:val="clear" w:color="auto" w:fill="FFFFFF"/>
              <w:spacing w:line="360" w:lineRule="atLeast"/>
              <w:jc w:val="left"/>
              <w:rPr>
                <w:rFonts w:ascii="仿宋" w:hAnsi="仿宋" w:eastAsia="仿宋"/>
                <w:sz w:val="24"/>
              </w:rPr>
            </w:pPr>
            <w:r>
              <w:rPr>
                <w:rFonts w:hint="eastAsia" w:ascii="仿宋" w:hAnsi="仿宋" w:eastAsia="仿宋"/>
                <w:sz w:val="24"/>
              </w:rPr>
              <w:t>六、森林生态系统组成与结构</w:t>
            </w:r>
          </w:p>
          <w:p w14:paraId="07D2EDC0">
            <w:pPr>
              <w:widowControl/>
              <w:shd w:val="clear" w:color="auto" w:fill="FFFFFF"/>
              <w:spacing w:line="360" w:lineRule="atLeast"/>
              <w:jc w:val="left"/>
              <w:rPr>
                <w:rFonts w:ascii="仿宋" w:hAnsi="仿宋" w:eastAsia="仿宋"/>
                <w:sz w:val="24"/>
              </w:rPr>
            </w:pPr>
            <w:r>
              <w:rPr>
                <w:rFonts w:hint="eastAsia" w:ascii="仿宋" w:hAnsi="仿宋" w:eastAsia="仿宋"/>
                <w:sz w:val="24"/>
              </w:rPr>
              <w:t>七、森林生态系统的养分循环</w:t>
            </w:r>
          </w:p>
          <w:p w14:paraId="5923E61B">
            <w:pPr>
              <w:widowControl/>
              <w:shd w:val="clear" w:color="auto" w:fill="FFFFFF"/>
              <w:spacing w:line="360" w:lineRule="atLeast"/>
              <w:jc w:val="left"/>
              <w:rPr>
                <w:rFonts w:ascii="仿宋" w:hAnsi="仿宋" w:eastAsia="仿宋"/>
                <w:sz w:val="24"/>
              </w:rPr>
            </w:pPr>
            <w:r>
              <w:rPr>
                <w:rFonts w:hint="eastAsia" w:ascii="仿宋" w:hAnsi="仿宋" w:eastAsia="仿宋"/>
                <w:sz w:val="24"/>
              </w:rPr>
              <w:t>八、森林生态系统的能量流动</w:t>
            </w:r>
          </w:p>
          <w:p w14:paraId="61AEE9B9">
            <w:pPr>
              <w:widowControl/>
              <w:shd w:val="clear" w:color="auto" w:fill="FFFFFF"/>
              <w:spacing w:line="360" w:lineRule="atLeast"/>
              <w:jc w:val="left"/>
              <w:rPr>
                <w:rFonts w:ascii="仿宋" w:hAnsi="仿宋" w:eastAsia="仿宋"/>
                <w:sz w:val="24"/>
              </w:rPr>
            </w:pPr>
            <w:r>
              <w:rPr>
                <w:rFonts w:hint="eastAsia" w:ascii="仿宋" w:hAnsi="仿宋" w:eastAsia="仿宋"/>
                <w:sz w:val="24"/>
              </w:rPr>
              <w:t>九、森林生态系统类型及其分布</w:t>
            </w:r>
          </w:p>
          <w:p w14:paraId="29B03AB3">
            <w:pPr>
              <w:widowControl/>
              <w:shd w:val="clear" w:color="auto" w:fill="FFFFFF"/>
              <w:spacing w:line="360" w:lineRule="atLeast"/>
              <w:jc w:val="left"/>
              <w:rPr>
                <w:rFonts w:ascii="仿宋" w:hAnsi="仿宋" w:eastAsia="仿宋"/>
                <w:sz w:val="24"/>
              </w:rPr>
            </w:pPr>
            <w:r>
              <w:rPr>
                <w:rFonts w:hint="eastAsia" w:ascii="仿宋" w:hAnsi="仿宋" w:eastAsia="仿宋"/>
                <w:sz w:val="24"/>
              </w:rPr>
              <w:t>十、森林景观生态原理</w:t>
            </w:r>
          </w:p>
          <w:p w14:paraId="2993D6FB">
            <w:pPr>
              <w:widowControl/>
              <w:shd w:val="clear" w:color="auto" w:fill="FFFFFF"/>
              <w:spacing w:line="360" w:lineRule="atLeast"/>
              <w:jc w:val="left"/>
              <w:rPr>
                <w:rFonts w:ascii="仿宋" w:hAnsi="仿宋" w:eastAsia="仿宋"/>
                <w:sz w:val="24"/>
              </w:rPr>
            </w:pPr>
            <w:r>
              <w:rPr>
                <w:rFonts w:hint="eastAsia" w:ascii="仿宋" w:hAnsi="仿宋" w:eastAsia="仿宋"/>
                <w:sz w:val="24"/>
              </w:rPr>
              <w:t>十一、生物多样性原理与保护</w:t>
            </w:r>
          </w:p>
          <w:p w14:paraId="61E5FB0F">
            <w:pPr>
              <w:widowControl/>
              <w:shd w:val="clear" w:color="auto" w:fill="FFFFFF"/>
              <w:spacing w:line="360" w:lineRule="atLeast"/>
              <w:jc w:val="left"/>
              <w:rPr>
                <w:rFonts w:ascii="仿宋" w:hAnsi="仿宋" w:eastAsia="仿宋"/>
                <w:sz w:val="24"/>
              </w:rPr>
            </w:pPr>
            <w:r>
              <w:rPr>
                <w:rFonts w:hint="eastAsia" w:ascii="仿宋" w:hAnsi="仿宋" w:eastAsia="仿宋"/>
                <w:sz w:val="24"/>
              </w:rPr>
              <w:t>十二、全球气候变化与森林生态系统碳循环</w:t>
            </w:r>
          </w:p>
          <w:p w14:paraId="38EF40F3">
            <w:pPr>
              <w:widowControl/>
              <w:shd w:val="clear" w:color="auto" w:fill="FFFFFF"/>
              <w:spacing w:line="360" w:lineRule="atLeast"/>
              <w:jc w:val="left"/>
              <w:rPr>
                <w:rFonts w:ascii="宋体" w:hAnsi="宋体"/>
                <w:sz w:val="24"/>
              </w:rPr>
            </w:pPr>
            <w:r>
              <w:rPr>
                <w:rFonts w:hint="eastAsia" w:ascii="仿宋" w:hAnsi="仿宋" w:eastAsia="仿宋"/>
                <w:sz w:val="24"/>
              </w:rPr>
              <w:t>十三、森林生态环境检测与效益评价</w:t>
            </w:r>
          </w:p>
        </w:tc>
      </w:tr>
      <w:tr w14:paraId="73AF22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3" w:hRule="atLeast"/>
          <w:jc w:val="center"/>
        </w:trPr>
        <w:tc>
          <w:tcPr>
            <w:tcW w:w="2088" w:type="dxa"/>
            <w:tcBorders>
              <w:top w:val="single" w:color="auto" w:sz="4" w:space="0"/>
              <w:left w:val="single" w:color="auto" w:sz="4" w:space="0"/>
              <w:bottom w:val="single" w:color="auto" w:sz="4" w:space="0"/>
              <w:right w:val="single" w:color="auto" w:sz="4" w:space="0"/>
            </w:tcBorders>
            <w:vAlign w:val="center"/>
          </w:tcPr>
          <w:p w14:paraId="7C1B86E5">
            <w:pPr>
              <w:wordWrap w:val="0"/>
              <w:spacing w:line="288" w:lineRule="auto"/>
              <w:jc w:val="center"/>
              <w:rPr>
                <w:rFonts w:ascii="华文仿宋" w:hAnsi="华文仿宋" w:eastAsia="华文仿宋"/>
                <w:sz w:val="28"/>
                <w:szCs w:val="28"/>
              </w:rPr>
            </w:pPr>
            <w:r>
              <w:rPr>
                <w:rFonts w:hint="eastAsia" w:ascii="华文仿宋" w:hAnsi="华文仿宋" w:eastAsia="华文仿宋"/>
                <w:b/>
                <w:bCs/>
                <w:sz w:val="28"/>
                <w:szCs w:val="28"/>
              </w:rPr>
              <w:t>二、参考书目</w:t>
            </w:r>
          </w:p>
        </w:tc>
        <w:tc>
          <w:tcPr>
            <w:tcW w:w="7200" w:type="dxa"/>
            <w:gridSpan w:val="3"/>
            <w:tcBorders>
              <w:top w:val="single" w:color="auto" w:sz="4" w:space="0"/>
              <w:left w:val="single" w:color="auto" w:sz="4" w:space="0"/>
              <w:bottom w:val="single" w:color="auto" w:sz="4" w:space="0"/>
              <w:right w:val="single" w:color="auto" w:sz="4" w:space="0"/>
            </w:tcBorders>
            <w:vAlign w:val="center"/>
          </w:tcPr>
          <w:p w14:paraId="15FE44C7">
            <w:pPr>
              <w:spacing w:line="400" w:lineRule="exact"/>
              <w:rPr>
                <w:rFonts w:eastAsia="华文仿宋"/>
                <w:sz w:val="28"/>
                <w:szCs w:val="28"/>
              </w:rPr>
            </w:pPr>
            <w:r>
              <w:rPr>
                <w:rFonts w:hint="eastAsia" w:ascii="仿宋" w:hAnsi="仿宋" w:eastAsia="仿宋"/>
                <w:sz w:val="24"/>
              </w:rPr>
              <w:t>不指定参考书目，具体考试范围以考试大纲为准。</w:t>
            </w:r>
          </w:p>
        </w:tc>
      </w:tr>
    </w:tbl>
    <w:p w14:paraId="47116EEA">
      <w:pPr>
        <w:spacing w:line="400" w:lineRule="exact"/>
        <w:jc w:val="center"/>
        <w:rPr>
          <w:rFonts w:hint="eastAsia" w:ascii="华文仿宋" w:hAnsi="华文仿宋" w:eastAsia="华文仿宋"/>
          <w:sz w:val="28"/>
          <w:szCs w:val="28"/>
        </w:rPr>
      </w:pPr>
    </w:p>
    <w:p w14:paraId="7B1F94DD">
      <w:pPr>
        <w:spacing w:line="400" w:lineRule="exact"/>
        <w:jc w:val="center"/>
        <w:rPr>
          <w:rFonts w:ascii="华文仿宋" w:hAnsi="华文仿宋" w:eastAsia="华文仿宋"/>
          <w:sz w:val="28"/>
          <w:szCs w:val="28"/>
        </w:rPr>
      </w:pPr>
      <w:r>
        <w:rPr>
          <w:rFonts w:hint="eastAsia" w:ascii="华文仿宋" w:hAnsi="华文仿宋" w:eastAsia="华文仿宋"/>
          <w:sz w:val="28"/>
          <w:szCs w:val="28"/>
        </w:rPr>
        <w:t>学科负责人签字：</w:t>
      </w:r>
      <w:r>
        <w:rPr>
          <w:rFonts w:ascii="华文仿宋" w:hAnsi="华文仿宋" w:eastAsia="华文仿宋"/>
          <w:sz w:val="28"/>
          <w:szCs w:val="28"/>
        </w:rPr>
        <w:t xml:space="preserve">                 </w:t>
      </w:r>
      <w:r>
        <w:rPr>
          <w:rFonts w:hint="eastAsia" w:ascii="华文仿宋" w:hAnsi="华文仿宋" w:eastAsia="华文仿宋"/>
          <w:sz w:val="28"/>
          <w:szCs w:val="28"/>
        </w:rPr>
        <w:t>学院负责人签字：</w:t>
      </w:r>
    </w:p>
    <w:p w14:paraId="32B066FF">
      <w:pPr>
        <w:spacing w:line="400" w:lineRule="exact"/>
        <w:ind w:firstLine="5600" w:firstLineChars="2000"/>
        <w:rPr>
          <w:rFonts w:ascii="华文仿宋" w:hAnsi="华文仿宋" w:eastAsia="华文仿宋"/>
          <w:sz w:val="28"/>
          <w:szCs w:val="28"/>
        </w:rPr>
      </w:pPr>
      <w:r>
        <w:rPr>
          <w:rFonts w:hint="eastAsia" w:ascii="华文仿宋" w:hAnsi="华文仿宋" w:eastAsia="华文仿宋"/>
          <w:sz w:val="28"/>
          <w:szCs w:val="28"/>
        </w:rPr>
        <w:t>（学院公章）</w:t>
      </w:r>
    </w:p>
    <w:p w14:paraId="32D66541">
      <w:pPr>
        <w:spacing w:line="400" w:lineRule="exact"/>
        <w:ind w:firstLine="5600" w:firstLineChars="2000"/>
      </w:pPr>
      <w:r>
        <w:rPr>
          <w:rFonts w:hint="eastAsia" w:ascii="华文仿宋" w:hAnsi="华文仿宋" w:eastAsia="华文仿宋"/>
          <w:sz w:val="28"/>
          <w:szCs w:val="28"/>
        </w:rPr>
        <w:t>年   月   日</w:t>
      </w:r>
    </w:p>
    <w:sectPr>
      <w:headerReference r:id="rId3"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5991B">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mMDIzZDI3YmM0N2E1NjMwZTkwNjQ5OTU3YWIwNTMifQ=="/>
  </w:docVars>
  <w:rsids>
    <w:rsidRoot w:val="00E442EA"/>
    <w:rsid w:val="000338E8"/>
    <w:rsid w:val="000C4301"/>
    <w:rsid w:val="0018225F"/>
    <w:rsid w:val="003678A3"/>
    <w:rsid w:val="003B3EB5"/>
    <w:rsid w:val="00625DBE"/>
    <w:rsid w:val="006E6FA5"/>
    <w:rsid w:val="007F2BDF"/>
    <w:rsid w:val="007F691D"/>
    <w:rsid w:val="00B1796D"/>
    <w:rsid w:val="00C86DBE"/>
    <w:rsid w:val="00D57148"/>
    <w:rsid w:val="00D60AE4"/>
    <w:rsid w:val="00E442EA"/>
    <w:rsid w:val="0FB73203"/>
    <w:rsid w:val="10204794"/>
    <w:rsid w:val="10E478AE"/>
    <w:rsid w:val="158104E6"/>
    <w:rsid w:val="1D1D7FC7"/>
    <w:rsid w:val="37706597"/>
    <w:rsid w:val="385414EE"/>
    <w:rsid w:val="50EF7546"/>
    <w:rsid w:val="5B1B59F7"/>
    <w:rsid w:val="5F702A4D"/>
    <w:rsid w:val="61ED665F"/>
    <w:rsid w:val="7EDA32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link w:val="3"/>
    <w:autoRedefine/>
    <w:qFormat/>
    <w:uiPriority w:val="99"/>
    <w:rPr>
      <w:sz w:val="18"/>
      <w:szCs w:val="18"/>
    </w:rPr>
  </w:style>
  <w:style w:type="character" w:customStyle="1" w:styleId="7">
    <w:name w:val="页眉 Char1"/>
    <w:basedOn w:val="5"/>
    <w:autoRedefine/>
    <w:semiHidden/>
    <w:qFormat/>
    <w:uiPriority w:val="99"/>
    <w:rPr>
      <w:rFonts w:ascii="Times New Roman" w:hAnsi="Times New Roman" w:eastAsia="宋体" w:cs="Times New Roman"/>
      <w:sz w:val="18"/>
      <w:szCs w:val="18"/>
    </w:rPr>
  </w:style>
  <w:style w:type="paragraph" w:styleId="8">
    <w:name w:val="List Paragraph"/>
    <w:basedOn w:val="1"/>
    <w:autoRedefine/>
    <w:qFormat/>
    <w:uiPriority w:val="0"/>
    <w:pPr>
      <w:ind w:firstLine="420" w:firstLineChars="200"/>
    </w:pPr>
  </w:style>
  <w:style w:type="character" w:customStyle="1" w:styleId="9">
    <w:name w:val="页脚 字符"/>
    <w:basedOn w:val="5"/>
    <w:link w:val="2"/>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665</Words>
  <Characters>675</Characters>
  <Lines>6</Lines>
  <Paragraphs>1</Paragraphs>
  <TotalTime>0</TotalTime>
  <ScaleCrop>false</ScaleCrop>
  <LinksUpToDate>false</LinksUpToDate>
  <CharactersWithSpaces>702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2018-07-11T08:21:00Z</dcterms:created>
  <dc:creator>HE</dc:creator>
  <cp:lastModifiedBy>若水</cp:lastModifiedBy>
  <dcterms:modified xsi:type="dcterms:W3CDTF">2024-08-15T05:21:41Z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F9707F8375274C019085ECA6D2BDE2EB</vt:lpwstr>
  </property>
</Properties>
</file>